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F194" w14:textId="2E95EA3C" w:rsidR="00DF780E" w:rsidRPr="00A65C79" w:rsidRDefault="00B723E3" w:rsidP="00DF780E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noProof/>
        </w:rPr>
        <w:drawing>
          <wp:inline distT="0" distB="0" distL="0" distR="0" wp14:anchorId="4847BA51" wp14:editId="462F3056">
            <wp:extent cx="577604" cy="577604"/>
            <wp:effectExtent l="0" t="76200" r="0" b="70485"/>
            <wp:docPr id="2027052540" name="Graphic 4" descr="Fla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590776" name="Graphic 1306590776" descr="Flag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21152">
                      <a:off x="0" y="0"/>
                      <a:ext cx="580669" cy="580669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inline>
        </w:drawing>
      </w:r>
      <w:r w:rsidR="00DF780E" w:rsidRPr="00A65C79">
        <w:rPr>
          <w:rFonts w:ascii="Aptos" w:hAnsi="Aptos"/>
          <w:b/>
          <w:bCs/>
          <w:sz w:val="28"/>
          <w:szCs w:val="28"/>
        </w:rPr>
        <w:t>Red Flags</w:t>
      </w:r>
    </w:p>
    <w:p w14:paraId="5E3B40E0" w14:textId="1F0C4694" w:rsidR="002E0534" w:rsidRPr="006D064B" w:rsidRDefault="00DF780E" w:rsidP="002E0534">
      <w:pPr>
        <w:rPr>
          <w:rFonts w:ascii="Aptos" w:hAnsi="Aptos"/>
        </w:rPr>
      </w:pPr>
      <w:r w:rsidRPr="00A65C79">
        <w:rPr>
          <w:rFonts w:ascii="Aptos" w:hAnsi="Aptos"/>
        </w:rPr>
        <w:t xml:space="preserve"> The Selection Committee will give lower scores when it spots </w:t>
      </w:r>
      <w:r w:rsidR="001050CA" w:rsidRPr="00A65C79">
        <w:rPr>
          <w:rFonts w:ascii="Aptos" w:hAnsi="Aptos"/>
        </w:rPr>
        <w:t xml:space="preserve">these </w:t>
      </w:r>
      <w:r w:rsidRPr="00A65C79">
        <w:rPr>
          <w:rFonts w:ascii="Aptos" w:hAnsi="Aptos"/>
        </w:rPr>
        <w:t>“red flags</w:t>
      </w:r>
      <w:r w:rsidR="001050CA" w:rsidRPr="00A65C79">
        <w:rPr>
          <w:rFonts w:ascii="Aptos" w:hAnsi="Aptos"/>
        </w:rPr>
        <w:t>.”</w:t>
      </w:r>
      <w:r w:rsidR="00B723E3">
        <w:rPr>
          <w:rFonts w:ascii="Aptos" w:hAnsi="Aptos"/>
        </w:rPr>
        <w:tab/>
      </w:r>
      <w:r w:rsidR="00B723E3">
        <w:rPr>
          <w:rFonts w:ascii="Aptos" w:hAnsi="Aptos"/>
        </w:rPr>
        <w:tab/>
      </w:r>
    </w:p>
    <w:p w14:paraId="15E22B49" w14:textId="1AAB8B1E" w:rsidR="002E0534" w:rsidRPr="00B723E3" w:rsidRDefault="00DF780E" w:rsidP="00B723E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723E3">
        <w:rPr>
          <w:rFonts w:ascii="Aptos" w:hAnsi="Aptos"/>
          <w:b/>
          <w:bCs/>
        </w:rPr>
        <w:t>Wish Lists</w:t>
      </w:r>
      <w:r w:rsidR="00B723E3" w:rsidRPr="00B723E3">
        <w:rPr>
          <w:rFonts w:ascii="Aptos" w:hAnsi="Aptos"/>
        </w:rPr>
        <w:br/>
        <w:t>D</w:t>
      </w:r>
      <w:r w:rsidRPr="00B723E3">
        <w:rPr>
          <w:rFonts w:ascii="Aptos" w:hAnsi="Aptos"/>
        </w:rPr>
        <w:t>o not list collaborating partners, speakers, or other talent with whom you have not spoken</w:t>
      </w:r>
      <w:r w:rsidR="00B723E3">
        <w:rPr>
          <w:rFonts w:ascii="Aptos" w:hAnsi="Aptos"/>
        </w:rPr>
        <w:t>.</w:t>
      </w:r>
      <w:r w:rsidRPr="00B723E3">
        <w:rPr>
          <w:rFonts w:ascii="Aptos" w:hAnsi="Aptos"/>
        </w:rPr>
        <w:t xml:space="preserve"> </w:t>
      </w:r>
      <w:r w:rsidR="002E0534" w:rsidRPr="00B723E3">
        <w:rPr>
          <w:rFonts w:ascii="Aptos" w:hAnsi="Aptos"/>
        </w:rPr>
        <w:br/>
      </w:r>
      <w:r w:rsidR="002E0534" w:rsidRPr="00B723E3">
        <w:rPr>
          <w:rFonts w:ascii="Aptos" w:hAnsi="Aptos"/>
        </w:rPr>
        <w:br/>
      </w:r>
      <w:r w:rsidRPr="00B723E3">
        <w:rPr>
          <w:rFonts w:ascii="Aptos" w:hAnsi="Aptos"/>
        </w:rPr>
        <w:t xml:space="preserve">The application is not a wish list of people and organizations you would like to work with </w:t>
      </w:r>
      <w:r w:rsidRPr="00B723E3">
        <w:rPr>
          <w:rFonts w:ascii="Aptos" w:hAnsi="Aptos"/>
          <w:i/>
          <w:iCs/>
        </w:rPr>
        <w:t>if selected</w:t>
      </w:r>
      <w:r w:rsidRPr="00B723E3">
        <w:rPr>
          <w:rFonts w:ascii="Aptos" w:hAnsi="Aptos"/>
        </w:rPr>
        <w:t>. Rather, you should only list those</w:t>
      </w:r>
      <w:r w:rsidR="002E0534" w:rsidRPr="00B723E3">
        <w:rPr>
          <w:rFonts w:ascii="Aptos" w:hAnsi="Aptos"/>
        </w:rPr>
        <w:t xml:space="preserve"> individuals and organizations</w:t>
      </w:r>
      <w:r w:rsidRPr="00B723E3">
        <w:rPr>
          <w:rFonts w:ascii="Aptos" w:hAnsi="Aptos"/>
        </w:rPr>
        <w:t>—even if not 100% committed—</w:t>
      </w:r>
      <w:r w:rsidR="002E0534" w:rsidRPr="00B723E3">
        <w:rPr>
          <w:rFonts w:ascii="Aptos" w:hAnsi="Aptos"/>
        </w:rPr>
        <w:t xml:space="preserve">who </w:t>
      </w:r>
      <w:r w:rsidRPr="00B723E3">
        <w:rPr>
          <w:rFonts w:ascii="Aptos" w:hAnsi="Aptos"/>
        </w:rPr>
        <w:t>have expressed an interest in being involved.</w:t>
      </w:r>
      <w:r w:rsidR="009B06E0" w:rsidRPr="00B723E3">
        <w:rPr>
          <w:rFonts w:ascii="Aptos" w:hAnsi="Aptos"/>
        </w:rPr>
        <w:t xml:space="preserve"> Otherwise, you are presenting </w:t>
      </w:r>
      <w:r w:rsidR="002E0534" w:rsidRPr="00B723E3">
        <w:rPr>
          <w:rFonts w:ascii="Aptos" w:hAnsi="Aptos"/>
        </w:rPr>
        <w:t>an</w:t>
      </w:r>
      <w:r w:rsidR="009B06E0" w:rsidRPr="00B723E3">
        <w:rPr>
          <w:rFonts w:ascii="Aptos" w:hAnsi="Aptos"/>
        </w:rPr>
        <w:t xml:space="preserve"> idea that may </w:t>
      </w:r>
      <w:r w:rsidR="002E0534" w:rsidRPr="00B723E3">
        <w:rPr>
          <w:rFonts w:ascii="Aptos" w:hAnsi="Aptos"/>
        </w:rPr>
        <w:t xml:space="preserve">have </w:t>
      </w:r>
      <w:r w:rsidR="009B06E0" w:rsidRPr="00B723E3">
        <w:rPr>
          <w:rFonts w:ascii="Aptos" w:hAnsi="Aptos"/>
        </w:rPr>
        <w:t xml:space="preserve">no way of </w:t>
      </w:r>
      <w:r w:rsidR="00B723E3" w:rsidRPr="00B723E3">
        <w:rPr>
          <w:rFonts w:ascii="Aptos" w:hAnsi="Aptos"/>
        </w:rPr>
        <w:t>happening</w:t>
      </w:r>
      <w:r w:rsidR="009B06E0" w:rsidRPr="00B723E3">
        <w:rPr>
          <w:rFonts w:ascii="Aptos" w:hAnsi="Aptos"/>
        </w:rPr>
        <w:t xml:space="preserve"> as described.</w:t>
      </w:r>
    </w:p>
    <w:p w14:paraId="61F28192" w14:textId="1C5221AA" w:rsidR="00DF780E" w:rsidRPr="00A65C79" w:rsidRDefault="00DF780E" w:rsidP="002E0534">
      <w:pPr>
        <w:pStyle w:val="ListParagraph"/>
        <w:rPr>
          <w:rFonts w:ascii="Aptos" w:hAnsi="Aptos"/>
        </w:rPr>
      </w:pPr>
      <w:r w:rsidRPr="00A65C79">
        <w:rPr>
          <w:rFonts w:ascii="Aptos" w:hAnsi="Aptos"/>
        </w:rPr>
        <w:br/>
      </w:r>
    </w:p>
    <w:p w14:paraId="6C96F1BC" w14:textId="77777777" w:rsidR="00B723E3" w:rsidRDefault="00DF780E" w:rsidP="00B723E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723E3">
        <w:rPr>
          <w:rFonts w:ascii="Aptos" w:hAnsi="Aptos"/>
          <w:b/>
          <w:bCs/>
        </w:rPr>
        <w:t>Outside Your Lane</w:t>
      </w:r>
      <w:r w:rsidR="00B723E3" w:rsidRPr="00B723E3">
        <w:rPr>
          <w:rFonts w:ascii="Aptos" w:hAnsi="Aptos"/>
        </w:rPr>
        <w:br/>
      </w:r>
      <w:r w:rsidRPr="00B723E3">
        <w:rPr>
          <w:rFonts w:ascii="Aptos" w:hAnsi="Aptos"/>
        </w:rPr>
        <w:t xml:space="preserve">Look for partners who round out deficits in your </w:t>
      </w:r>
      <w:r w:rsidR="002E0534" w:rsidRPr="00B723E3">
        <w:rPr>
          <w:rFonts w:ascii="Aptos" w:hAnsi="Aptos"/>
        </w:rPr>
        <w:t>proposal</w:t>
      </w:r>
      <w:r w:rsidRPr="00B723E3">
        <w:rPr>
          <w:rFonts w:ascii="Aptos" w:hAnsi="Aptos"/>
        </w:rPr>
        <w:t xml:space="preserve"> and/or bring in a unique point of view, especially if you are tackling a topic outside your mission area. </w:t>
      </w:r>
      <w:r w:rsidR="00B723E3">
        <w:rPr>
          <w:rFonts w:ascii="Aptos" w:hAnsi="Aptos"/>
        </w:rPr>
        <w:br/>
      </w:r>
    </w:p>
    <w:p w14:paraId="2FAFBBEA" w14:textId="03C8C565" w:rsidR="00B723E3" w:rsidRDefault="00DF780E" w:rsidP="00B723E3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00B723E3">
        <w:rPr>
          <w:rFonts w:ascii="Aptos" w:hAnsi="Aptos"/>
        </w:rPr>
        <w:t>Events about historically marginalized and oppressed groups that fail to center the expertise and voices of those groups in the planning of the event will face additional scrutiny.</w:t>
      </w:r>
      <w:r w:rsidR="009B06E0" w:rsidRPr="00B723E3">
        <w:rPr>
          <w:rFonts w:ascii="Aptos" w:hAnsi="Aptos"/>
        </w:rPr>
        <w:t xml:space="preserve"> </w:t>
      </w:r>
      <w:r w:rsidR="00B723E3">
        <w:rPr>
          <w:rFonts w:ascii="Aptos" w:hAnsi="Aptos"/>
        </w:rPr>
        <w:br/>
      </w:r>
    </w:p>
    <w:p w14:paraId="442CE11A" w14:textId="33412920" w:rsidR="00B723E3" w:rsidRDefault="009B06E0" w:rsidP="00B723E3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00B723E3">
        <w:rPr>
          <w:rFonts w:ascii="Aptos" w:hAnsi="Aptos"/>
        </w:rPr>
        <w:t xml:space="preserve">Events described as “interfaith” that do not engage across </w:t>
      </w:r>
      <w:r w:rsidR="00B723E3">
        <w:rPr>
          <w:rFonts w:ascii="Aptos" w:hAnsi="Aptos"/>
        </w:rPr>
        <w:t>spiritual traditions</w:t>
      </w:r>
      <w:r w:rsidRPr="00B723E3">
        <w:rPr>
          <w:rFonts w:ascii="Aptos" w:hAnsi="Aptos"/>
        </w:rPr>
        <w:t xml:space="preserve"> in meaningful way</w:t>
      </w:r>
      <w:r w:rsidR="00B723E3">
        <w:rPr>
          <w:rFonts w:ascii="Aptos" w:hAnsi="Aptos"/>
        </w:rPr>
        <w:t>s</w:t>
      </w:r>
      <w:r w:rsidRPr="00B723E3">
        <w:rPr>
          <w:rFonts w:ascii="Aptos" w:hAnsi="Aptos"/>
        </w:rPr>
        <w:t xml:space="preserve"> will also not do well.</w:t>
      </w:r>
      <w:r w:rsidR="00B723E3">
        <w:rPr>
          <w:rFonts w:ascii="Aptos" w:hAnsi="Aptos"/>
        </w:rPr>
        <w:t xml:space="preserve"> (Simply inviting in a guest of another religious tradition to offer a prayer is not interfaith.)</w:t>
      </w:r>
      <w:r w:rsidR="00B723E3">
        <w:rPr>
          <w:rFonts w:ascii="Aptos" w:hAnsi="Aptos"/>
        </w:rPr>
        <w:br/>
      </w:r>
    </w:p>
    <w:p w14:paraId="2F6199AD" w14:textId="01BD63AB" w:rsidR="00DF780E" w:rsidRPr="00B723E3" w:rsidRDefault="00C95DF3" w:rsidP="00B723E3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Events aiming to serve intergenerational audiences that do not carefully plan</w:t>
      </w:r>
      <w:r w:rsidRPr="00C95DF3">
        <w:rPr>
          <w:rFonts w:ascii="Aptos" w:hAnsi="Aptos"/>
          <w:sz w:val="20"/>
          <w:szCs w:val="20"/>
        </w:rPr>
        <w:t xml:space="preserve"> </w:t>
      </w:r>
      <w:r w:rsidRPr="00C95DF3">
        <w:rPr>
          <w:rFonts w:ascii="Aptos" w:hAnsi="Aptos" w:cstheme="minorHAnsi"/>
          <w:shd w:val="clear" w:color="auto" w:fill="FFFFFF"/>
        </w:rPr>
        <w:t>to increase cooperation, interaction, and exchanges between generations</w:t>
      </w:r>
      <w:r>
        <w:rPr>
          <w:rFonts w:ascii="Aptos" w:hAnsi="Aptos"/>
        </w:rPr>
        <w:t xml:space="preserve"> are not truly “intergenerational” and will be evaluated accordingly.</w:t>
      </w:r>
      <w:r w:rsidR="00DF780E" w:rsidRPr="00B723E3">
        <w:rPr>
          <w:rFonts w:ascii="Aptos" w:hAnsi="Aptos"/>
        </w:rPr>
        <w:br/>
      </w:r>
      <w:r w:rsidR="002E0534" w:rsidRPr="00B723E3">
        <w:rPr>
          <w:rFonts w:ascii="Aptos" w:hAnsi="Aptos"/>
        </w:rPr>
        <w:br/>
      </w:r>
    </w:p>
    <w:p w14:paraId="4CE696E2" w14:textId="1E2836B5" w:rsidR="000D0AFA" w:rsidRPr="00B723E3" w:rsidRDefault="00DF780E" w:rsidP="00B723E3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B723E3">
        <w:rPr>
          <w:rFonts w:ascii="Aptos" w:hAnsi="Aptos"/>
          <w:b/>
          <w:bCs/>
        </w:rPr>
        <w:t>Transactional Collaborations</w:t>
      </w:r>
      <w:r w:rsidR="00B723E3" w:rsidRPr="00B723E3">
        <w:rPr>
          <w:rFonts w:ascii="Aptos" w:hAnsi="Aptos"/>
        </w:rPr>
        <w:br/>
      </w:r>
      <w:r w:rsidRPr="00B723E3">
        <w:rPr>
          <w:rFonts w:ascii="Aptos" w:hAnsi="Aptos"/>
        </w:rPr>
        <w:t>The strongest collaborations are co-creative</w:t>
      </w:r>
      <w:r w:rsidR="002E0534" w:rsidRPr="00B723E3">
        <w:rPr>
          <w:rFonts w:ascii="Aptos" w:hAnsi="Aptos"/>
        </w:rPr>
        <w:t xml:space="preserve">. This means involving partners </w:t>
      </w:r>
      <w:r w:rsidRPr="00B723E3">
        <w:rPr>
          <w:rFonts w:ascii="Aptos" w:hAnsi="Aptos"/>
        </w:rPr>
        <w:t xml:space="preserve">early </w:t>
      </w:r>
      <w:r w:rsidR="002E0534" w:rsidRPr="00B723E3">
        <w:rPr>
          <w:rFonts w:ascii="Aptos" w:hAnsi="Aptos"/>
        </w:rPr>
        <w:t xml:space="preserve">in the </w:t>
      </w:r>
      <w:r w:rsidRPr="00B723E3">
        <w:rPr>
          <w:rFonts w:ascii="Aptos" w:hAnsi="Aptos"/>
        </w:rPr>
        <w:t xml:space="preserve">design stage and/or providing content expertise. </w:t>
      </w:r>
      <w:r w:rsidR="002E0534" w:rsidRPr="00B723E3">
        <w:rPr>
          <w:rFonts w:ascii="Aptos" w:hAnsi="Aptos"/>
        </w:rPr>
        <w:t>To be blunt: Adding a bunch of partner names to your application for the sake of naming lots of folks is not going to win points.</w:t>
      </w:r>
      <w:r w:rsidR="002E0534" w:rsidRPr="00B723E3">
        <w:rPr>
          <w:rFonts w:ascii="Aptos" w:hAnsi="Aptos"/>
        </w:rPr>
        <w:br/>
      </w:r>
      <w:r w:rsidR="002E0534" w:rsidRPr="00B723E3">
        <w:rPr>
          <w:rFonts w:ascii="Aptos" w:hAnsi="Aptos"/>
        </w:rPr>
        <w:br/>
      </w:r>
      <w:r w:rsidRPr="00B723E3">
        <w:rPr>
          <w:rFonts w:ascii="Aptos" w:hAnsi="Aptos"/>
        </w:rPr>
        <w:t>Spirit &amp; Place staff and the Selection Committee realize developing the relationships needed to secure venue space, staff support, and supplies</w:t>
      </w:r>
      <w:r w:rsidR="002E0534" w:rsidRPr="00B723E3">
        <w:rPr>
          <w:rFonts w:ascii="Aptos" w:hAnsi="Aptos"/>
        </w:rPr>
        <w:t xml:space="preserve"> are</w:t>
      </w:r>
      <w:r w:rsidRPr="00B723E3">
        <w:rPr>
          <w:rFonts w:ascii="Aptos" w:hAnsi="Aptos"/>
        </w:rPr>
        <w:t xml:space="preserve"> also important </w:t>
      </w:r>
      <w:r w:rsidR="002E0534" w:rsidRPr="00B723E3">
        <w:rPr>
          <w:rFonts w:ascii="Aptos" w:hAnsi="Aptos"/>
        </w:rPr>
        <w:t>and time-consuming</w:t>
      </w:r>
      <w:r w:rsidRPr="00B723E3">
        <w:rPr>
          <w:rFonts w:ascii="Aptos" w:hAnsi="Aptos"/>
        </w:rPr>
        <w:t xml:space="preserve">. </w:t>
      </w:r>
      <w:r w:rsidR="002E0534" w:rsidRPr="00B723E3">
        <w:rPr>
          <w:rFonts w:ascii="Aptos" w:hAnsi="Aptos"/>
        </w:rPr>
        <w:t>However, c</w:t>
      </w:r>
      <w:r w:rsidRPr="00B723E3">
        <w:rPr>
          <w:rFonts w:ascii="Aptos" w:hAnsi="Aptos"/>
        </w:rPr>
        <w:t>ollaborations that appear transactional or “in name only,” will be scored low</w:t>
      </w:r>
      <w:r w:rsidR="002E0534" w:rsidRPr="00B723E3">
        <w:rPr>
          <w:rFonts w:ascii="Aptos" w:hAnsi="Aptos"/>
        </w:rPr>
        <w:t>er.</w:t>
      </w:r>
    </w:p>
    <w:sectPr w:rsidR="000D0AFA" w:rsidRPr="00B723E3" w:rsidSect="00DF780E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1E8C" w14:textId="77777777" w:rsidR="00EA6132" w:rsidRDefault="00EA6132" w:rsidP="00DF780E">
      <w:pPr>
        <w:spacing w:after="0" w:line="240" w:lineRule="auto"/>
      </w:pPr>
      <w:r>
        <w:separator/>
      </w:r>
    </w:p>
  </w:endnote>
  <w:endnote w:type="continuationSeparator" w:id="0">
    <w:p w14:paraId="7B60E7D7" w14:textId="77777777" w:rsidR="00EA6132" w:rsidRDefault="00EA6132" w:rsidP="00DF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AE1D" w14:textId="77777777" w:rsidR="00EA6132" w:rsidRDefault="00EA6132" w:rsidP="00DF780E">
      <w:pPr>
        <w:spacing w:after="0" w:line="240" w:lineRule="auto"/>
      </w:pPr>
      <w:r>
        <w:separator/>
      </w:r>
    </w:p>
  </w:footnote>
  <w:footnote w:type="continuationSeparator" w:id="0">
    <w:p w14:paraId="39F91561" w14:textId="77777777" w:rsidR="00EA6132" w:rsidRDefault="00EA6132" w:rsidP="00DF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8710" w14:textId="25744F8F" w:rsidR="00DF780E" w:rsidRDefault="00A65C79" w:rsidP="00DF780E">
    <w:pPr>
      <w:pStyle w:val="Header"/>
      <w:jc w:val="right"/>
    </w:pPr>
    <w:r>
      <w:rPr>
        <w:b/>
        <w:bCs/>
        <w:noProof/>
      </w:rPr>
      <w:drawing>
        <wp:inline distT="0" distB="0" distL="0" distR="0" wp14:anchorId="7A1CEC06" wp14:editId="604C1872">
          <wp:extent cx="1710921" cy="426358"/>
          <wp:effectExtent l="0" t="0" r="0" b="0"/>
          <wp:docPr id="8462723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27236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921" cy="426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66EC7" w14:textId="77777777" w:rsidR="00DF780E" w:rsidRDefault="00DF7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A8A"/>
    <w:multiLevelType w:val="hybridMultilevel"/>
    <w:tmpl w:val="153E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3776F"/>
    <w:multiLevelType w:val="hybridMultilevel"/>
    <w:tmpl w:val="37F8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969582">
    <w:abstractNumId w:val="0"/>
  </w:num>
  <w:num w:numId="2" w16cid:durableId="1727364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80"/>
    <w:rsid w:val="00000AEA"/>
    <w:rsid w:val="000D0AFA"/>
    <w:rsid w:val="001050CA"/>
    <w:rsid w:val="002E0534"/>
    <w:rsid w:val="00367580"/>
    <w:rsid w:val="00370B77"/>
    <w:rsid w:val="00464ED3"/>
    <w:rsid w:val="004C158A"/>
    <w:rsid w:val="004E1BEF"/>
    <w:rsid w:val="006D064B"/>
    <w:rsid w:val="007B1076"/>
    <w:rsid w:val="00944912"/>
    <w:rsid w:val="009B06E0"/>
    <w:rsid w:val="00A65C79"/>
    <w:rsid w:val="00B723E3"/>
    <w:rsid w:val="00C95DF3"/>
    <w:rsid w:val="00DA654A"/>
    <w:rsid w:val="00DF780E"/>
    <w:rsid w:val="00EA6132"/>
    <w:rsid w:val="00F70119"/>
    <w:rsid w:val="00F826FF"/>
    <w:rsid w:val="00FD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D560"/>
  <w15:chartTrackingRefBased/>
  <w15:docId w15:val="{94327215-07B2-483C-AF14-861B2268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80E"/>
  </w:style>
  <w:style w:type="paragraph" w:styleId="Footer">
    <w:name w:val="footer"/>
    <w:basedOn w:val="Normal"/>
    <w:link w:val="FooterChar"/>
    <w:uiPriority w:val="99"/>
    <w:unhideWhenUsed/>
    <w:rsid w:val="00DF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80E"/>
  </w:style>
  <w:style w:type="paragraph" w:styleId="ListParagraph">
    <w:name w:val="List Paragraph"/>
    <w:basedOn w:val="Normal"/>
    <w:uiPriority w:val="34"/>
    <w:qFormat/>
    <w:rsid w:val="00DF7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Kelley</dc:creator>
  <cp:keywords/>
  <dc:description/>
  <cp:lastModifiedBy>Kelley, Erin K</cp:lastModifiedBy>
  <cp:revision>10</cp:revision>
  <dcterms:created xsi:type="dcterms:W3CDTF">2022-12-15T16:16:00Z</dcterms:created>
  <dcterms:modified xsi:type="dcterms:W3CDTF">2026-05-06T16:21:00Z</dcterms:modified>
</cp:coreProperties>
</file>